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CE" w:rsidRPr="00D266E6" w:rsidRDefault="00D61ACE" w:rsidP="00D61ACE">
      <w:pPr>
        <w:pStyle w:val="NoSpacing"/>
        <w:jc w:val="center"/>
        <w:rPr>
          <w:rFonts w:ascii="Monotype Corsiva" w:hAnsi="Monotype Corsiva"/>
          <w:b/>
          <w:color w:val="002060"/>
          <w:sz w:val="44"/>
          <w:lang w:val="uk-UA"/>
        </w:rPr>
      </w:pPr>
      <w:r w:rsidRPr="00D266E6">
        <w:rPr>
          <w:rFonts w:ascii="Monotype Corsiva" w:hAnsi="Monotype Corsiva"/>
          <w:b/>
          <w:color w:val="002060"/>
          <w:sz w:val="44"/>
          <w:lang w:val="uk-UA"/>
        </w:rPr>
        <w:t>Перелік</w:t>
      </w:r>
    </w:p>
    <w:p w:rsidR="00D61ACE" w:rsidRPr="00D266E6" w:rsidRDefault="00D61ACE" w:rsidP="00D61ACE">
      <w:pPr>
        <w:pStyle w:val="NoSpacing"/>
        <w:jc w:val="center"/>
        <w:rPr>
          <w:rFonts w:ascii="Monotype Corsiva" w:hAnsi="Monotype Corsiva"/>
          <w:b/>
          <w:color w:val="002060"/>
          <w:sz w:val="44"/>
          <w:lang w:val="uk-UA"/>
        </w:rPr>
      </w:pPr>
      <w:r w:rsidRPr="00D266E6">
        <w:rPr>
          <w:rFonts w:ascii="Monotype Corsiva" w:hAnsi="Monotype Corsiva"/>
          <w:b/>
          <w:color w:val="002060"/>
          <w:sz w:val="44"/>
          <w:lang w:val="uk-UA"/>
        </w:rPr>
        <w:t>документів, що утворюються в діяльності бібліотеки</w:t>
      </w:r>
    </w:p>
    <w:p w:rsidR="00D61ACE" w:rsidRPr="00D266E6" w:rsidRDefault="00D61ACE" w:rsidP="00D61ACE">
      <w:pPr>
        <w:pStyle w:val="NoSpacing"/>
        <w:jc w:val="center"/>
        <w:rPr>
          <w:rFonts w:ascii="Monotype Corsiva" w:hAnsi="Monotype Corsiva"/>
          <w:b/>
          <w:color w:val="002060"/>
          <w:sz w:val="44"/>
          <w:lang w:val="uk-UA"/>
        </w:rPr>
      </w:pPr>
      <w:r w:rsidRPr="00D266E6">
        <w:rPr>
          <w:rFonts w:ascii="Monotype Corsiva" w:hAnsi="Monotype Corsiva"/>
          <w:b/>
          <w:color w:val="002060"/>
          <w:sz w:val="44"/>
          <w:lang w:val="uk-UA"/>
        </w:rPr>
        <w:t>загальноосвітнього навчального закладу</w:t>
      </w:r>
    </w:p>
    <w:p w:rsidR="00D61ACE" w:rsidRPr="00D266E6" w:rsidRDefault="00D61ACE" w:rsidP="00D61ACE">
      <w:pPr>
        <w:pStyle w:val="NoSpacing"/>
        <w:jc w:val="center"/>
        <w:rPr>
          <w:rFonts w:ascii="Monotype Corsiva" w:hAnsi="Monotype Corsiva"/>
          <w:b/>
          <w:color w:val="002060"/>
          <w:sz w:val="44"/>
          <w:lang w:val="uk-UA"/>
        </w:rPr>
      </w:pPr>
      <w:r w:rsidRPr="00D266E6">
        <w:rPr>
          <w:rFonts w:ascii="Monotype Corsiva" w:hAnsi="Monotype Corsiva"/>
          <w:b/>
          <w:color w:val="002060"/>
          <w:sz w:val="44"/>
          <w:lang w:val="uk-UA"/>
        </w:rPr>
        <w:t>із зазначенням термінів їх зберігання</w:t>
      </w:r>
    </w:p>
    <w:p w:rsidR="00D61ACE" w:rsidRDefault="00D61ACE" w:rsidP="00D61ACE">
      <w:pPr>
        <w:pStyle w:val="NoSpacing"/>
        <w:jc w:val="center"/>
        <w:rPr>
          <w:rFonts w:ascii="Times New Roman" w:hAnsi="Times New Roman"/>
          <w:sz w:val="28"/>
          <w:lang w:val="uk-UA"/>
        </w:rPr>
      </w:pPr>
    </w:p>
    <w:p w:rsidR="00D61ACE" w:rsidRPr="00BC0927" w:rsidRDefault="00D61ACE" w:rsidP="00D61ACE">
      <w:pPr>
        <w:pStyle w:val="NoSpacing"/>
        <w:jc w:val="both"/>
        <w:rPr>
          <w:rFonts w:ascii="Times New Roman" w:hAnsi="Times New Roman"/>
          <w:sz w:val="24"/>
          <w:lang w:val="uk-UA"/>
        </w:rPr>
      </w:pPr>
      <w:r w:rsidRPr="00BC0927">
        <w:rPr>
          <w:rFonts w:ascii="Times New Roman" w:hAnsi="Times New Roman"/>
          <w:sz w:val="24"/>
          <w:lang w:val="uk-UA"/>
        </w:rPr>
        <w:t>(укладений відповідно до Переліку типових документів, що утворюються в діяльності органів державної влади та місцевого самоврядування, інших підприємств, установ та організацій, із зазначенням строків зберігання документів, затвердженого наказом Головного архівного управління при Кабінеті Міністрів України від 20 липня 1998 року № 41 (у редакції, затвердженій в Міністерстві юстиції України 15 квітня 2008 року № 306/14997)</w:t>
      </w:r>
    </w:p>
    <w:p w:rsidR="00D61ACE" w:rsidRDefault="00D61ACE" w:rsidP="00D61ACE">
      <w:pPr>
        <w:pStyle w:val="NoSpacing"/>
        <w:jc w:val="both"/>
        <w:rPr>
          <w:rFonts w:ascii="Times New Roman" w:hAnsi="Times New Roman"/>
          <w:sz w:val="28"/>
          <w:lang w:val="uk-UA"/>
        </w:rPr>
      </w:pPr>
    </w:p>
    <w:p w:rsidR="00D61ACE" w:rsidRDefault="00D61ACE" w:rsidP="00D61ACE">
      <w:pPr>
        <w:pStyle w:val="NoSpacing"/>
        <w:jc w:val="both"/>
        <w:rPr>
          <w:rFonts w:ascii="Times New Roman" w:hAnsi="Times New Roman"/>
          <w:sz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1"/>
        <w:gridCol w:w="32"/>
        <w:gridCol w:w="4915"/>
        <w:gridCol w:w="30"/>
        <w:gridCol w:w="147"/>
        <w:gridCol w:w="1486"/>
        <w:gridCol w:w="1937"/>
      </w:tblGrid>
      <w:tr w:rsidR="00D61ACE" w:rsidRPr="0023647F" w:rsidTr="00440497">
        <w:tc>
          <w:tcPr>
            <w:tcW w:w="1493" w:type="dxa"/>
            <w:gridSpan w:val="2"/>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w:t>
            </w:r>
          </w:p>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статті за Переліком*</w:t>
            </w:r>
          </w:p>
        </w:tc>
        <w:tc>
          <w:tcPr>
            <w:tcW w:w="5092" w:type="dxa"/>
            <w:gridSpan w:val="3"/>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Вид документів</w:t>
            </w:r>
          </w:p>
        </w:tc>
        <w:tc>
          <w:tcPr>
            <w:tcW w:w="1486" w:type="dxa"/>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Термін зберігання</w:t>
            </w:r>
          </w:p>
        </w:tc>
        <w:tc>
          <w:tcPr>
            <w:tcW w:w="1937" w:type="dxa"/>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Примітка</w:t>
            </w:r>
          </w:p>
        </w:tc>
      </w:tr>
      <w:tr w:rsidR="00D61ACE" w:rsidRPr="0023647F" w:rsidTr="00440497">
        <w:tc>
          <w:tcPr>
            <w:tcW w:w="10008" w:type="dxa"/>
            <w:gridSpan w:val="7"/>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І. Розпорядчо-організаційні документи. Контроль</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1б, 2б, 3б</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(законодавчі та нормативно-правові акти, які регламентують діяльність бібліотек)</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заміни новими</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заміни новими</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16 а)</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Накази, розпорядження, рішення </w:t>
            </w:r>
            <w:proofErr w:type="spellStart"/>
            <w:r w:rsidRPr="0023647F">
              <w:rPr>
                <w:rFonts w:ascii="Times New Roman" w:hAnsi="Times New Roman"/>
                <w:sz w:val="24"/>
                <w:lang w:val="uk-UA"/>
              </w:rPr>
              <w:t>Міністервтса</w:t>
            </w:r>
            <w:proofErr w:type="spellEnd"/>
            <w:r w:rsidRPr="0023647F">
              <w:rPr>
                <w:rFonts w:ascii="Times New Roman" w:hAnsi="Times New Roman"/>
                <w:sz w:val="24"/>
                <w:lang w:val="uk-UA"/>
              </w:rPr>
              <w:t xml:space="preserve"> освіти і науки України, Головного управління освіти і науки Київської ОДА, відділу освіти з питань діяльності бібліотеки навчального закладу</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Доки не мине потреба</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18 б)</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Правила, положення, інструкції, методичні рекомендації та вказівки міністерства освіти і науки України, КОІПОПК, міського методичного центру відділу освіти з питань діяльності бібліотеки</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заміни новими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45</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(доповідні записки, інформації, аналітичні огляди тощо) з питань діяльності бібліотеки, які направлено до органів вищого рівня</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55 б)</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Приймально-здавальні акти з усіма додатками (за виключенням інвентаризаційних документів), складені в разі зміни завідуючого бібліотекою</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863, 867</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(акти, довідки, доповідні записки тощо) перевірок роботи бібліотеки</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Після наступної перевірки </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ЕК</w:t>
            </w:r>
          </w:p>
        </w:tc>
        <w:tc>
          <w:tcPr>
            <w:tcW w:w="5092" w:type="dxa"/>
            <w:gridSpan w:val="3"/>
            <w:vAlign w:val="center"/>
          </w:tcPr>
          <w:p w:rsidR="00D61ACE" w:rsidRPr="0023647F" w:rsidRDefault="00D61ACE" w:rsidP="00440497">
            <w:pPr>
              <w:pStyle w:val="NoSpacing"/>
              <w:rPr>
                <w:rFonts w:ascii="Times New Roman" w:hAnsi="Times New Roman"/>
                <w:sz w:val="24"/>
                <w:lang w:val="uk-UA"/>
              </w:rPr>
            </w:pPr>
            <w:proofErr w:type="spellStart"/>
            <w:r w:rsidRPr="0023647F">
              <w:rPr>
                <w:rFonts w:ascii="Times New Roman" w:hAnsi="Times New Roman"/>
                <w:sz w:val="24"/>
                <w:lang w:val="uk-UA"/>
              </w:rPr>
              <w:t>Контроль-візитаційна</w:t>
            </w:r>
            <w:proofErr w:type="spellEnd"/>
            <w:r w:rsidRPr="0023647F">
              <w:rPr>
                <w:rFonts w:ascii="Times New Roman" w:hAnsi="Times New Roman"/>
                <w:sz w:val="24"/>
                <w:lang w:val="uk-UA"/>
              </w:rPr>
              <w:t xml:space="preserve"> книга</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10р.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0008" w:type="dxa"/>
            <w:gridSpan w:val="7"/>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ІІ. Організаційно-правові документи</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33</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Положення </w:t>
            </w:r>
            <w:proofErr w:type="spellStart"/>
            <w:r w:rsidRPr="0023647F">
              <w:rPr>
                <w:rFonts w:ascii="Times New Roman" w:hAnsi="Times New Roman"/>
                <w:sz w:val="24"/>
                <w:lang w:val="uk-UA"/>
              </w:rPr>
              <w:t>прго</w:t>
            </w:r>
            <w:proofErr w:type="spellEnd"/>
            <w:r w:rsidRPr="0023647F">
              <w:rPr>
                <w:rFonts w:ascii="Times New Roman" w:hAnsi="Times New Roman"/>
                <w:sz w:val="24"/>
                <w:lang w:val="uk-UA"/>
              </w:rPr>
              <w:t xml:space="preserve"> бібліотеку навчального закладу</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572</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Паспорт бібліотеки</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Постійно</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49 а)</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Посадові інструкції</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Після заміни новими </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347</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Договори про матеріальну відповідальність </w:t>
            </w:r>
            <w:r w:rsidRPr="0023647F">
              <w:rPr>
                <w:rFonts w:ascii="Times New Roman" w:hAnsi="Times New Roman"/>
                <w:sz w:val="24"/>
                <w:lang w:val="uk-UA"/>
              </w:rPr>
              <w:lastRenderedPageBreak/>
              <w:t>бібліотечних працівників</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lastRenderedPageBreak/>
              <w:t>5р.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Після </w:t>
            </w:r>
            <w:proofErr w:type="spellStart"/>
            <w:r w:rsidRPr="0023647F">
              <w:rPr>
                <w:rFonts w:ascii="Times New Roman" w:hAnsi="Times New Roman"/>
                <w:sz w:val="24"/>
                <w:lang w:val="uk-UA"/>
              </w:rPr>
              <w:t>звільнен-</w:t>
            </w:r>
            <w:r w:rsidRPr="0023647F">
              <w:rPr>
                <w:rFonts w:ascii="Times New Roman" w:hAnsi="Times New Roman"/>
                <w:sz w:val="24"/>
                <w:lang w:val="uk-UA"/>
              </w:rPr>
              <w:lastRenderedPageBreak/>
              <w:t>ня</w:t>
            </w:r>
            <w:proofErr w:type="spellEnd"/>
            <w:r w:rsidRPr="0023647F">
              <w:rPr>
                <w:rFonts w:ascii="Times New Roman" w:hAnsi="Times New Roman"/>
                <w:sz w:val="24"/>
                <w:lang w:val="uk-UA"/>
              </w:rPr>
              <w:t xml:space="preserve"> матеріально-відповідальних осіб</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lastRenderedPageBreak/>
              <w:t>18 а)</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Правила користування бібліотекою навчального закладу</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До ліквідації </w:t>
            </w:r>
            <w:proofErr w:type="spellStart"/>
            <w:r w:rsidRPr="0023647F">
              <w:rPr>
                <w:rFonts w:ascii="Times New Roman" w:hAnsi="Times New Roman"/>
                <w:sz w:val="24"/>
                <w:lang w:val="uk-UA"/>
              </w:rPr>
              <w:t>бібілотеки</w:t>
            </w:r>
            <w:proofErr w:type="spellEnd"/>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18 а)</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Порядок користування навчальними виданнями із фондів бібліотеки навчального закладу</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До ліквідації </w:t>
            </w:r>
            <w:proofErr w:type="spellStart"/>
            <w:r w:rsidRPr="0023647F">
              <w:rPr>
                <w:rFonts w:ascii="Times New Roman" w:hAnsi="Times New Roman"/>
                <w:sz w:val="24"/>
                <w:lang w:val="uk-UA"/>
              </w:rPr>
              <w:t>бібілотеки</w:t>
            </w:r>
            <w:proofErr w:type="spellEnd"/>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154</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Плани роботи бібліотеки (річні, календарні)</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При наявності відповідних звітів</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157</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(відомості, таблиці цифрових показників, аналізи) про розрахунки на обґрунтування річних планів</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587</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Протоколи засідань. Рішення Ради бібліотеки </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10р.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848</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(списик, плани, програми, звіти) про роботу активу бібліотеки</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10р.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60</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(плани, умови, програми, положення, довідки, звіти, протоколи засідань оргкомітету, журі) конкурсів, акцій тощо.</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585</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Плани, програми навчальних та спеціальних курсів з формування </w:t>
            </w:r>
            <w:proofErr w:type="spellStart"/>
            <w:r w:rsidRPr="0023647F">
              <w:rPr>
                <w:rFonts w:ascii="Times New Roman" w:hAnsi="Times New Roman"/>
                <w:sz w:val="24"/>
                <w:lang w:val="uk-UA"/>
              </w:rPr>
              <w:t>бібліотечно-бібліграфічної</w:t>
            </w:r>
            <w:proofErr w:type="spellEnd"/>
            <w:r w:rsidRPr="0023647F">
              <w:rPr>
                <w:rFonts w:ascii="Times New Roman" w:hAnsi="Times New Roman"/>
                <w:sz w:val="24"/>
                <w:lang w:val="uk-UA"/>
              </w:rPr>
              <w:t xml:space="preserve"> та інформаційної культури користувачів</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заміни новими</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595</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Методичні вказівки, розробки, рекомендації щодо організації та проведення бібліотечних занять</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10р.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620</w:t>
            </w:r>
          </w:p>
        </w:tc>
        <w:tc>
          <w:tcPr>
            <w:tcW w:w="5092"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Графіки проведення бібліотечних занять (з формування бібліотечно-бібліографічної та інформаційної культури, бібліотечних гуртків, </w:t>
            </w:r>
            <w:proofErr w:type="spellStart"/>
            <w:r w:rsidRPr="0023647F">
              <w:rPr>
                <w:rFonts w:ascii="Times New Roman" w:hAnsi="Times New Roman"/>
                <w:sz w:val="24"/>
                <w:lang w:val="uk-UA"/>
              </w:rPr>
              <w:t>об’днань</w:t>
            </w:r>
            <w:proofErr w:type="spellEnd"/>
            <w:r w:rsidRPr="0023647F">
              <w:rPr>
                <w:rFonts w:ascii="Times New Roman" w:hAnsi="Times New Roman"/>
                <w:sz w:val="24"/>
                <w:lang w:val="uk-UA"/>
              </w:rPr>
              <w:t xml:space="preserve"> тощо)</w:t>
            </w:r>
          </w:p>
        </w:tc>
        <w:tc>
          <w:tcPr>
            <w:tcW w:w="1486"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0008" w:type="dxa"/>
            <w:gridSpan w:val="7"/>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ІІІ. Документи обліку і контролю</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865, 899</w:t>
            </w: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Щоденники обліку роботи, читачів та відвідувань </w:t>
            </w:r>
            <w:proofErr w:type="spellStart"/>
            <w:r w:rsidRPr="0023647F">
              <w:rPr>
                <w:rFonts w:ascii="Times New Roman" w:hAnsi="Times New Roman"/>
                <w:sz w:val="24"/>
                <w:lang w:val="uk-UA"/>
              </w:rPr>
              <w:t>бібілотеки</w:t>
            </w:r>
            <w:proofErr w:type="spellEnd"/>
            <w:r w:rsidRPr="0023647F">
              <w:rPr>
                <w:rFonts w:ascii="Times New Roman" w:hAnsi="Times New Roman"/>
                <w:sz w:val="24"/>
                <w:lang w:val="uk-UA"/>
              </w:rPr>
              <w:t xml:space="preserve"> </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обліку основного бібліотечного фонду</w:t>
            </w:r>
          </w:p>
        </w:tc>
        <w:tc>
          <w:tcPr>
            <w:tcW w:w="1663" w:type="dxa"/>
            <w:gridSpan w:val="3"/>
            <w:vAlign w:val="center"/>
          </w:tcPr>
          <w:p w:rsidR="00D61ACE" w:rsidRPr="0023647F" w:rsidRDefault="00D61ACE" w:rsidP="00440497">
            <w:pPr>
              <w:pStyle w:val="NoSpacing"/>
              <w:rPr>
                <w:rFonts w:ascii="Times New Roman" w:hAnsi="Times New Roman"/>
                <w:sz w:val="24"/>
                <w:lang w:val="uk-UA"/>
              </w:rPr>
            </w:pP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866</w:t>
            </w: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Плани комплектування бібліотечних фондів</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868</w:t>
            </w: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(списки, каталоги, звіти) про оформлення річної передплати на літературу</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отримання передплатної літератури</w:t>
            </w: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874</w:t>
            </w: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Картотека обліку періодичних видань</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870</w:t>
            </w: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Книга обліку документів основного фонду тимчасового користування</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9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869</w:t>
            </w:r>
          </w:p>
        </w:tc>
        <w:tc>
          <w:tcPr>
            <w:tcW w:w="4915"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Інвентарні книги обліку основного бібліотечного фонду</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870</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Книги сумарного обліку бібліотечного фонду</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875</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Супровідні документи (накладні, акти, описи, </w:t>
            </w:r>
            <w:r w:rsidRPr="0023647F">
              <w:rPr>
                <w:rFonts w:ascii="Times New Roman" w:hAnsi="Times New Roman"/>
                <w:sz w:val="24"/>
                <w:lang w:val="uk-UA"/>
              </w:rPr>
              <w:lastRenderedPageBreak/>
              <w:t>списки) на літературу, що надходить до бібліотеки 3р.</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lastRenderedPageBreak/>
              <w:t xml:space="preserve">Після </w:t>
            </w:r>
            <w:r w:rsidRPr="0023647F">
              <w:rPr>
                <w:rFonts w:ascii="Times New Roman" w:hAnsi="Times New Roman"/>
                <w:sz w:val="24"/>
                <w:lang w:val="uk-UA"/>
              </w:rPr>
              <w:lastRenderedPageBreak/>
              <w:t>перевірки бібліотечного фонду</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lastRenderedPageBreak/>
              <w:t>877</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Книги обліку літератури, загубленої користувачами, і тієї, що прийнята замість неї</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перевірки бібліотечного фонду</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878</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Акти, списки літератури, вилученої з обігу</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879</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Книга обліку документів, прийнятих в дарунок</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879</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Прибуткові акти на літературу, одержану безкоштовно або без супровідних документів</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перевірки бібліотечного фонду</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881</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Акти списання періодичних видань</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10р.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883</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Протоколи комісії зі збереження бібліотечних фондів</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888</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Листування про повернення літератури користувачами</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894</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Книга обліку незадоволеного попиту на літературу</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Доки не мине потреба</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895</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Журнали реєстрації бібліографічних довідок</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922</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Архів виконаних бібліографічних довідок</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897</w:t>
            </w:r>
          </w:p>
        </w:tc>
        <w:tc>
          <w:tcPr>
            <w:tcW w:w="4947"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Картотеки формулярів користувачів</w:t>
            </w:r>
          </w:p>
        </w:tc>
        <w:tc>
          <w:tcPr>
            <w:tcW w:w="1663"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перереєстрації читачів і повернення літератури</w:t>
            </w:r>
          </w:p>
        </w:tc>
      </w:tr>
      <w:tr w:rsidR="00D61ACE" w:rsidRPr="0023647F" w:rsidTr="00440497">
        <w:tc>
          <w:tcPr>
            <w:tcW w:w="10008" w:type="dxa"/>
            <w:gridSpan w:val="7"/>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 xml:space="preserve">Документи обліку фонду навчальної літератури </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598</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(списки, переліки) про використання у навчально-виховному процесі навчально-методичних видань, рекомендованих МОН України</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заміни новими</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1072</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про потребу в шкільних підручниках. Замовлення на навчальні підручники і посібники</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869</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Інвентарні книги обліку фонду навчальної літератури</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870</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Книга обліку документів тимчасового користування фонду навальної літератури </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870</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Книги сумарного обліку фонду навчальної літератури</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871</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Реєстраційна картотека руху підручників</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875</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Супровідні документи (накладні, акти, описи, списки) на навчальну літературу, що надходить до бібліотеки</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Default="00D61ACE" w:rsidP="00440497">
            <w:pPr>
              <w:pStyle w:val="NoSpacing"/>
              <w:rPr>
                <w:rFonts w:ascii="Times New Roman" w:hAnsi="Times New Roman"/>
                <w:sz w:val="24"/>
                <w:lang w:val="en-US"/>
              </w:rPr>
            </w:pPr>
            <w:r w:rsidRPr="0023647F">
              <w:rPr>
                <w:rFonts w:ascii="Times New Roman" w:hAnsi="Times New Roman"/>
                <w:sz w:val="24"/>
                <w:lang w:val="uk-UA"/>
              </w:rPr>
              <w:t>Після перевірки бібліотечного фонду</w:t>
            </w:r>
          </w:p>
          <w:p w:rsidR="00D61ACE" w:rsidRPr="00241632" w:rsidRDefault="00D61ACE" w:rsidP="00440497">
            <w:pPr>
              <w:pStyle w:val="NoSpacing"/>
              <w:rPr>
                <w:rFonts w:ascii="Times New Roman" w:hAnsi="Times New Roman"/>
                <w:sz w:val="24"/>
                <w:lang w:val="en-US"/>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632</w:t>
            </w:r>
          </w:p>
        </w:tc>
        <w:tc>
          <w:tcPr>
            <w:tcW w:w="4977" w:type="dxa"/>
            <w:gridSpan w:val="3"/>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Документи (реєстраційні відомості, списки, статистичні та аналітичні таблиці) про </w:t>
            </w:r>
            <w:r w:rsidRPr="0023647F">
              <w:rPr>
                <w:rFonts w:ascii="Times New Roman" w:hAnsi="Times New Roman"/>
                <w:sz w:val="24"/>
                <w:lang w:val="uk-UA"/>
              </w:rPr>
              <w:lastRenderedPageBreak/>
              <w:t>наявність навчальної літератури та забезпеченість навчально-виховного процесу</w:t>
            </w:r>
          </w:p>
        </w:tc>
        <w:tc>
          <w:tcPr>
            <w:tcW w:w="1633" w:type="dxa"/>
            <w:gridSpan w:val="2"/>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lastRenderedPageBreak/>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bl>
    <w:p w:rsidR="00D61ACE" w:rsidRDefault="00D61ACE" w:rsidP="00D61ACE">
      <w:pPr>
        <w:rPr>
          <w:lang w:val="uk-UA"/>
        </w:rPr>
      </w:pPr>
    </w:p>
    <w:p w:rsidR="00D61ACE" w:rsidRPr="001F68FC" w:rsidRDefault="00D61ACE" w:rsidP="00D61ACE">
      <w:pP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1"/>
        <w:gridCol w:w="4977"/>
        <w:gridCol w:w="1633"/>
        <w:gridCol w:w="1937"/>
      </w:tblGrid>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877</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Книги обліку навчальної літератури, загубленої користувачами, і тієї, що прийнята замість неї.</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перевірки бібліотечного фонду</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878</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Акти, списки навчальної літератури, вилученої з обігу</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 ліквідації  бібліотеки</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897</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Книга обліку виданої з фондів бібліотеки навчальної літератури класним керівникам, учням</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1р.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повернення літератури до бібліотеки</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897</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Формуляри класів на видачу навчальної літератури</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перереєстрації читачів і повернення літератури</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880</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Книга обліку передачі навчальної літератури іншим навчальним закладам на умовах книгообміну</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Після повернення літератури</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884</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Акти інвентаризаційної перевірки фондів навчальної літератури</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943</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Документи (плани, умови, програми, положення, довідки, звіти, протоколи засідань оргкомітету, журі) конкурсів, акцій щодо забезпечення збереження навчальних видань</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3р.</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0008" w:type="dxa"/>
            <w:gridSpan w:val="4"/>
            <w:vAlign w:val="center"/>
          </w:tcPr>
          <w:p w:rsidR="00D61ACE" w:rsidRPr="0023647F" w:rsidRDefault="00D61ACE" w:rsidP="00440497">
            <w:pPr>
              <w:pStyle w:val="NoSpacing"/>
              <w:jc w:val="center"/>
              <w:rPr>
                <w:rFonts w:ascii="Times New Roman" w:hAnsi="Times New Roman"/>
                <w:b/>
                <w:sz w:val="24"/>
                <w:lang w:val="uk-UA"/>
              </w:rPr>
            </w:pPr>
            <w:r w:rsidRPr="0023647F">
              <w:rPr>
                <w:rFonts w:ascii="Times New Roman" w:hAnsi="Times New Roman"/>
                <w:b/>
                <w:sz w:val="24"/>
                <w:lang w:val="uk-UA"/>
              </w:rPr>
              <w:t>Довідково-інформаційні документи</w:t>
            </w: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853</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Сценарії, тематичні плани, програми проведення бібліотечних акцій, заходів тощо</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Доки не мине потреба</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921</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Інформаційні видання бібліотеки (бюлетені, списки, огляди, листки, прес-релізи тощо)</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Доки не мине потреба</w:t>
            </w:r>
          </w:p>
        </w:tc>
        <w:tc>
          <w:tcPr>
            <w:tcW w:w="1937" w:type="dxa"/>
            <w:vAlign w:val="center"/>
          </w:tcPr>
          <w:p w:rsidR="00D61ACE" w:rsidRPr="0023647F" w:rsidRDefault="00D61ACE" w:rsidP="00440497">
            <w:pPr>
              <w:pStyle w:val="NoSpacing"/>
              <w:rPr>
                <w:rFonts w:ascii="Times New Roman" w:hAnsi="Times New Roman"/>
                <w:sz w:val="24"/>
                <w:lang w:val="uk-UA"/>
              </w:rPr>
            </w:pPr>
          </w:p>
        </w:tc>
      </w:tr>
      <w:tr w:rsidR="00D61ACE" w:rsidRPr="0023647F" w:rsidTr="00440497">
        <w:tc>
          <w:tcPr>
            <w:tcW w:w="1461"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922</w:t>
            </w:r>
          </w:p>
        </w:tc>
        <w:tc>
          <w:tcPr>
            <w:tcW w:w="4977"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 xml:space="preserve">Бібліографічні </w:t>
            </w:r>
            <w:proofErr w:type="spellStart"/>
            <w:r w:rsidRPr="0023647F">
              <w:rPr>
                <w:rFonts w:ascii="Times New Roman" w:hAnsi="Times New Roman"/>
                <w:sz w:val="24"/>
                <w:lang w:val="uk-UA"/>
              </w:rPr>
              <w:t>підбірки</w:t>
            </w:r>
            <w:proofErr w:type="spellEnd"/>
            <w:r w:rsidRPr="0023647F">
              <w:rPr>
                <w:rFonts w:ascii="Times New Roman" w:hAnsi="Times New Roman"/>
                <w:sz w:val="24"/>
                <w:lang w:val="uk-UA"/>
              </w:rPr>
              <w:t>, тематичні покажчики літератури, бібліографічні посібники</w:t>
            </w:r>
          </w:p>
        </w:tc>
        <w:tc>
          <w:tcPr>
            <w:tcW w:w="1633" w:type="dxa"/>
            <w:vAlign w:val="center"/>
          </w:tcPr>
          <w:p w:rsidR="00D61ACE" w:rsidRPr="0023647F" w:rsidRDefault="00D61ACE" w:rsidP="00440497">
            <w:pPr>
              <w:pStyle w:val="NoSpacing"/>
              <w:rPr>
                <w:rFonts w:ascii="Times New Roman" w:hAnsi="Times New Roman"/>
                <w:sz w:val="24"/>
                <w:lang w:val="uk-UA"/>
              </w:rPr>
            </w:pPr>
            <w:r w:rsidRPr="0023647F">
              <w:rPr>
                <w:rFonts w:ascii="Times New Roman" w:hAnsi="Times New Roman"/>
                <w:sz w:val="24"/>
                <w:lang w:val="uk-UA"/>
              </w:rPr>
              <w:t>Доки не мине потреба</w:t>
            </w:r>
          </w:p>
        </w:tc>
        <w:tc>
          <w:tcPr>
            <w:tcW w:w="1937" w:type="dxa"/>
            <w:vAlign w:val="center"/>
          </w:tcPr>
          <w:p w:rsidR="00D61ACE" w:rsidRPr="0023647F" w:rsidRDefault="00D61ACE" w:rsidP="00440497">
            <w:pPr>
              <w:pStyle w:val="NoSpacing"/>
              <w:rPr>
                <w:rFonts w:ascii="Times New Roman" w:hAnsi="Times New Roman"/>
                <w:sz w:val="24"/>
                <w:lang w:val="uk-UA"/>
              </w:rPr>
            </w:pPr>
          </w:p>
        </w:tc>
      </w:tr>
    </w:tbl>
    <w:p w:rsidR="00D61ACE" w:rsidRPr="00844E3C" w:rsidRDefault="00D61ACE" w:rsidP="00D61ACE">
      <w:pPr>
        <w:pStyle w:val="NoSpacing"/>
        <w:jc w:val="both"/>
        <w:rPr>
          <w:rFonts w:ascii="Times New Roman" w:hAnsi="Times New Roman"/>
          <w:sz w:val="28"/>
          <w:lang w:val="uk-UA"/>
        </w:rPr>
      </w:pPr>
    </w:p>
    <w:p w:rsidR="00DA5817" w:rsidRDefault="00DA5817"/>
    <w:sectPr w:rsidR="00DA5817" w:rsidSect="00BF76E1">
      <w:pgSz w:w="11906" w:h="16838"/>
      <w:pgMar w:top="1134" w:right="424" w:bottom="1134" w:left="426" w:header="709" w:footer="709" w:gutter="567"/>
      <w:pgNumType w:start="3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ACE"/>
    <w:rsid w:val="00CA7991"/>
    <w:rsid w:val="00D61ACE"/>
    <w:rsid w:val="00DA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D61AC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Office Word</Application>
  <DocSecurity>0</DocSecurity>
  <Lines>50</Lines>
  <Paragraphs>14</Paragraphs>
  <ScaleCrop>false</ScaleCrop>
  <Company>Reanimator Extreme Edition</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2016-02-04T09:44:00Z</dcterms:created>
  <dcterms:modified xsi:type="dcterms:W3CDTF">2016-02-04T09:44:00Z</dcterms:modified>
</cp:coreProperties>
</file>